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0258" w14:textId="77777777" w:rsidR="00074DED" w:rsidRDefault="00CB1B22">
      <w:pPr>
        <w:jc w:val="center"/>
        <w:rPr>
          <w:b/>
        </w:rPr>
      </w:pPr>
      <w:r>
        <w:rPr>
          <w:noProof/>
        </w:rPr>
        <w:drawing>
          <wp:inline distT="0" distB="0" distL="0" distR="0" wp14:anchorId="6A9D6B3B" wp14:editId="34279658">
            <wp:extent cx="2266950" cy="11747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74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9CB5B9" w14:textId="77777777" w:rsidR="00074DED" w:rsidRDefault="00CB1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Course Evaluation Measures Menu </w:t>
      </w:r>
    </w:p>
    <w:p w14:paraId="58F4462F" w14:textId="77777777" w:rsidR="00074DED" w:rsidRDefault="00074DED">
      <w:pPr>
        <w:rPr>
          <w:b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95"/>
        <w:gridCol w:w="2565"/>
      </w:tblGrid>
      <w:tr w:rsidR="00074DED" w14:paraId="685A4A52" w14:textId="77777777">
        <w:tc>
          <w:tcPr>
            <w:tcW w:w="6795" w:type="dxa"/>
          </w:tcPr>
          <w:p w14:paraId="2E3559F5" w14:textId="77777777" w:rsidR="00074DED" w:rsidRDefault="00CB1B22">
            <w:pPr>
              <w:ind w:hanging="111"/>
            </w:pPr>
            <w:r>
              <w:rPr>
                <w:b/>
              </w:rPr>
              <w:t xml:space="preserve">Course number: </w:t>
            </w:r>
            <w:r>
              <w:t>IDT G20</w:t>
            </w:r>
          </w:p>
        </w:tc>
        <w:tc>
          <w:tcPr>
            <w:tcW w:w="2565" w:type="dxa"/>
          </w:tcPr>
          <w:p w14:paraId="4FC8E086" w14:textId="77777777" w:rsidR="00074DED" w:rsidRDefault="00074DED"/>
        </w:tc>
      </w:tr>
      <w:tr w:rsidR="00074DED" w14:paraId="283620EB" w14:textId="77777777">
        <w:tc>
          <w:tcPr>
            <w:tcW w:w="6795" w:type="dxa"/>
          </w:tcPr>
          <w:p w14:paraId="6AE21D3A" w14:textId="77777777" w:rsidR="00074DED" w:rsidRDefault="00CB1B22">
            <w:pPr>
              <w:ind w:hanging="111"/>
            </w:pPr>
            <w:r>
              <w:rPr>
                <w:b/>
              </w:rPr>
              <w:t xml:space="preserve">Course title: </w:t>
            </w:r>
            <w:r>
              <w:t>Learning Experience Design</w:t>
            </w:r>
          </w:p>
        </w:tc>
        <w:tc>
          <w:tcPr>
            <w:tcW w:w="2565" w:type="dxa"/>
          </w:tcPr>
          <w:p w14:paraId="7F883A6B" w14:textId="77777777" w:rsidR="00074DED" w:rsidRDefault="00074DED"/>
        </w:tc>
      </w:tr>
      <w:tr w:rsidR="00074DED" w14:paraId="089274AE" w14:textId="77777777">
        <w:tc>
          <w:tcPr>
            <w:tcW w:w="6795" w:type="dxa"/>
          </w:tcPr>
          <w:p w14:paraId="3F99AF90" w14:textId="77777777" w:rsidR="00074DED" w:rsidRDefault="00CB1B22">
            <w:pPr>
              <w:ind w:hanging="111"/>
            </w:pPr>
            <w:r>
              <w:rPr>
                <w:b/>
              </w:rPr>
              <w:t xml:space="preserve">Campus location(s): </w:t>
            </w:r>
            <w:r>
              <w:t>Georgetown, Dover, Stanton, Wilmington</w:t>
            </w:r>
          </w:p>
        </w:tc>
        <w:tc>
          <w:tcPr>
            <w:tcW w:w="2565" w:type="dxa"/>
          </w:tcPr>
          <w:p w14:paraId="05F0F923" w14:textId="77777777" w:rsidR="00074DED" w:rsidRDefault="00074DED"/>
        </w:tc>
      </w:tr>
      <w:tr w:rsidR="00074DED" w14:paraId="0CB2EC22" w14:textId="77777777">
        <w:tc>
          <w:tcPr>
            <w:tcW w:w="6795" w:type="dxa"/>
          </w:tcPr>
          <w:p w14:paraId="7592FD31" w14:textId="77777777" w:rsidR="00074DED" w:rsidRDefault="00CB1B22">
            <w:pPr>
              <w:ind w:hanging="111"/>
            </w:pPr>
            <w:r>
              <w:rPr>
                <w:b/>
              </w:rPr>
              <w:t xml:space="preserve">Effective semester: </w:t>
            </w:r>
            <w:r>
              <w:t>Fall 2025</w:t>
            </w:r>
          </w:p>
        </w:tc>
        <w:tc>
          <w:tcPr>
            <w:tcW w:w="2565" w:type="dxa"/>
          </w:tcPr>
          <w:p w14:paraId="230833AB" w14:textId="77777777" w:rsidR="00074DED" w:rsidRDefault="00074DED"/>
        </w:tc>
      </w:tr>
    </w:tbl>
    <w:p w14:paraId="471992FE" w14:textId="77777777" w:rsidR="00074DED" w:rsidRDefault="00074DED">
      <w:pPr>
        <w:rPr>
          <w:b/>
        </w:rPr>
      </w:pPr>
    </w:p>
    <w:p w14:paraId="3B28EE6B" w14:textId="77777777" w:rsidR="00074DED" w:rsidRDefault="00CB1B22">
      <w:pPr>
        <w:tabs>
          <w:tab w:val="left" w:pos="0"/>
          <w:tab w:val="left" w:pos="540"/>
          <w:tab w:val="left" w:pos="1080"/>
        </w:tabs>
      </w:pPr>
      <w:r>
        <w:rPr>
          <w:b/>
        </w:rPr>
        <w:t>Core Course Performance Objectives</w:t>
      </w:r>
      <w:r>
        <w:t xml:space="preserve"> </w:t>
      </w:r>
    </w:p>
    <w:p w14:paraId="2C4F580A" w14:textId="77777777" w:rsidR="00074DED" w:rsidRDefault="00CB1B22">
      <w:pPr>
        <w:numPr>
          <w:ilvl w:val="0"/>
          <w:numId w:val="1"/>
        </w:numPr>
      </w:pPr>
      <w:r>
        <w:t>Design human-centered learning environments that align with the foundations of Regular Substantive Interaction (RSI). (CCC 1, 2, 3, 5; PGC 1, 3, 5)</w:t>
      </w:r>
    </w:p>
    <w:p w14:paraId="7AF130F3" w14:textId="77777777" w:rsidR="00074DED" w:rsidRDefault="00CB1B22">
      <w:pPr>
        <w:numPr>
          <w:ilvl w:val="0"/>
          <w:numId w:val="1"/>
        </w:numPr>
      </w:pPr>
      <w:r>
        <w:t xml:space="preserve">Develop an instructional unit integrating interactive learning design strategies to personalize learning. (CCC 2, 6; PGC 1, 2, 3, 4, 5) </w:t>
      </w:r>
    </w:p>
    <w:p w14:paraId="11EFD8C2" w14:textId="77777777" w:rsidR="00074DED" w:rsidRDefault="00CB1B22">
      <w:pPr>
        <w:numPr>
          <w:ilvl w:val="0"/>
          <w:numId w:val="1"/>
        </w:numPr>
      </w:pPr>
      <w:r>
        <w:t xml:space="preserve">Reflect on the learning design process to continuously improve instructional effectiveness. (CCC 3, 4; PGC 1, 3, 6) </w:t>
      </w:r>
    </w:p>
    <w:p w14:paraId="395B5555" w14:textId="77777777" w:rsidR="00074DED" w:rsidRDefault="00074DED">
      <w:pPr>
        <w:jc w:val="center"/>
        <w:rPr>
          <w:b/>
        </w:rPr>
      </w:pPr>
    </w:p>
    <w:p w14:paraId="7FE562F6" w14:textId="77777777" w:rsidR="00074DED" w:rsidRDefault="00CB1B22">
      <w:pPr>
        <w:jc w:val="center"/>
        <w:rPr>
          <w:b/>
        </w:rPr>
      </w:pPr>
      <w:r>
        <w:rPr>
          <w:b/>
        </w:rPr>
        <w:t>Summative Evaluations</w:t>
      </w:r>
    </w:p>
    <w:p w14:paraId="1E126357" w14:textId="77777777" w:rsidR="00074DED" w:rsidRDefault="00074DED">
      <w:pPr>
        <w:jc w:val="center"/>
        <w:rPr>
          <w:b/>
        </w:rPr>
      </w:pPr>
    </w:p>
    <w:p w14:paraId="4279D0B4" w14:textId="77777777" w:rsidR="00074DED" w:rsidRDefault="00CB1B2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Please note: All courses must have a </w:t>
      </w:r>
      <w:r>
        <w:rPr>
          <w:b/>
          <w:i/>
          <w:sz w:val="20"/>
          <w:szCs w:val="20"/>
        </w:rPr>
        <w:t>minimum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of four</w:t>
      </w:r>
      <w:r>
        <w:rPr>
          <w:i/>
          <w:sz w:val="20"/>
          <w:szCs w:val="20"/>
        </w:rPr>
        <w:t xml:space="preserve"> summative evaluation measures, and those measures should include a variety of evaluation methods (e.g., test, oral presentation, group project). </w:t>
      </w:r>
      <w:r>
        <w:rPr>
          <w:b/>
          <w:i/>
          <w:sz w:val="20"/>
          <w:szCs w:val="20"/>
        </w:rPr>
        <w:t>Please list all summative evaluation measures.  In addition to these summative measures, a variety of formative exercises/quizzes/other assignments should be used to guide instruction and learning</w:t>
      </w:r>
      <w:r>
        <w:rPr>
          <w:b/>
        </w:rPr>
        <w:t xml:space="preserve"> </w:t>
      </w:r>
      <w:r>
        <w:rPr>
          <w:b/>
          <w:i/>
          <w:sz w:val="20"/>
          <w:szCs w:val="20"/>
        </w:rPr>
        <w:t>but only required to be included on the final course grade.</w:t>
      </w:r>
      <w:r>
        <w:rPr>
          <w:i/>
          <w:sz w:val="20"/>
          <w:szCs w:val="20"/>
        </w:rPr>
        <w:t xml:space="preserve"> </w:t>
      </w:r>
    </w:p>
    <w:p w14:paraId="564869E6" w14:textId="77777777" w:rsidR="00074DED" w:rsidRDefault="00074DED">
      <w:pPr>
        <w:rPr>
          <w:i/>
          <w:sz w:val="20"/>
          <w:szCs w:val="20"/>
        </w:rPr>
      </w:pPr>
    </w:p>
    <w:p w14:paraId="33137499" w14:textId="77777777" w:rsidR="00074DED" w:rsidRDefault="00CB1B2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For each measure, please include a scope of the assignment: for example, if requiring a research paper, include the range of required number of words and number and types of sources; for a test, include the types and number of questions; for a presentation, include the minimum and maximum time, and so on. </w:t>
      </w:r>
    </w:p>
    <w:p w14:paraId="0C6CD578" w14:textId="77777777" w:rsidR="00074DED" w:rsidRDefault="00074DED">
      <w:pPr>
        <w:rPr>
          <w:i/>
          <w:sz w:val="20"/>
          <w:szCs w:val="20"/>
        </w:rPr>
      </w:pP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0"/>
        <w:gridCol w:w="3270"/>
      </w:tblGrid>
      <w:tr w:rsidR="00074DED" w14:paraId="7FE6694C" w14:textId="77777777">
        <w:tc>
          <w:tcPr>
            <w:tcW w:w="6090" w:type="dxa"/>
          </w:tcPr>
          <w:p w14:paraId="464625CC" w14:textId="77777777" w:rsidR="00074DED" w:rsidRDefault="00CB1B22">
            <w:pPr>
              <w:rPr>
                <w:b/>
              </w:rPr>
            </w:pPr>
            <w:r>
              <w:rPr>
                <w:b/>
              </w:rPr>
              <w:t xml:space="preserve">Evaluation Measures: </w:t>
            </w:r>
            <w:r>
              <w:rPr>
                <w:sz w:val="20"/>
                <w:szCs w:val="20"/>
              </w:rPr>
              <w:t>Include each agreed upon measure and scope of that measure (see above).</w:t>
            </w:r>
          </w:p>
        </w:tc>
        <w:tc>
          <w:tcPr>
            <w:tcW w:w="3270" w:type="dxa"/>
          </w:tcPr>
          <w:p w14:paraId="0C24EEB6" w14:textId="77777777" w:rsidR="00074DED" w:rsidRDefault="00CB1B22">
            <w:pPr>
              <w:rPr>
                <w:b/>
              </w:rPr>
            </w:pPr>
            <w:r>
              <w:rPr>
                <w:b/>
              </w:rPr>
              <w:t xml:space="preserve">Which CCPO(s) does this evaluation measure? </w:t>
            </w:r>
          </w:p>
        </w:tc>
      </w:tr>
      <w:tr w:rsidR="00074DED" w14:paraId="6173CED4" w14:textId="77777777">
        <w:tc>
          <w:tcPr>
            <w:tcW w:w="6090" w:type="dxa"/>
          </w:tcPr>
          <w:p w14:paraId="456276C1" w14:textId="77777777" w:rsidR="00074DED" w:rsidRDefault="00CB1B22">
            <w:pPr>
              <w:spacing w:after="240"/>
              <w:rPr>
                <w:b/>
              </w:rPr>
            </w:pPr>
            <w:r>
              <w:rPr>
                <w:b/>
              </w:rPr>
              <w:t>Designing for Connection: Improving Learning with RSI</w:t>
            </w:r>
          </w:p>
          <w:p w14:paraId="6D72A48D" w14:textId="77777777" w:rsidR="00074DED" w:rsidRDefault="00CB1B22">
            <w:pPr>
              <w:spacing w:before="240" w:after="240"/>
            </w:pPr>
            <w:r>
              <w:t xml:space="preserve">Participants will identify a challenging lesson, concept, skill, or assessment in an existing course and develop a strategy to enhance Regular </w:t>
            </w:r>
            <w:proofErr w:type="gramStart"/>
            <w:r>
              <w:t>and  Substantive</w:t>
            </w:r>
            <w:proofErr w:type="gramEnd"/>
            <w:r>
              <w:t xml:space="preserve"> Interaction (RSI) and instructor presence. The plan will include targeted RSI strategies to improve student learning, motivation, and engagement. The plan will be evaluated using a collegewide rubric.</w:t>
            </w:r>
          </w:p>
          <w:p w14:paraId="621F9847" w14:textId="77777777" w:rsidR="00074DED" w:rsidRDefault="00CB1B22">
            <w:pPr>
              <w:spacing w:before="240"/>
              <w:rPr>
                <w:b/>
              </w:rPr>
            </w:pPr>
            <w:r>
              <w:rPr>
                <w:b/>
              </w:rPr>
              <w:t>Submission Options:</w:t>
            </w:r>
          </w:p>
          <w:p w14:paraId="7121BAB9" w14:textId="77777777" w:rsidR="00074DED" w:rsidRDefault="00CB1B22">
            <w:pPr>
              <w:numPr>
                <w:ilvl w:val="0"/>
                <w:numId w:val="4"/>
              </w:numPr>
            </w:pPr>
            <w:r>
              <w:rPr>
                <w:b/>
              </w:rPr>
              <w:t>Written Document:</w:t>
            </w:r>
            <w:r>
              <w:t xml:space="preserve"> A </w:t>
            </w:r>
            <w:proofErr w:type="gramStart"/>
            <w:r>
              <w:t>2-3 page</w:t>
            </w:r>
            <w:proofErr w:type="gramEnd"/>
            <w:r>
              <w:t xml:space="preserve"> strategy plan</w:t>
            </w:r>
          </w:p>
          <w:p w14:paraId="360550BB" w14:textId="77777777" w:rsidR="00074DED" w:rsidRDefault="00CB1B22">
            <w:pPr>
              <w:numPr>
                <w:ilvl w:val="0"/>
                <w:numId w:val="5"/>
              </w:numPr>
            </w:pPr>
            <w:r>
              <w:rPr>
                <w:b/>
              </w:rPr>
              <w:t xml:space="preserve">Presentation: </w:t>
            </w:r>
            <w:r>
              <w:t>A visual presentation with at least 5 slides, including speaker notes or a voiceover</w:t>
            </w:r>
          </w:p>
          <w:p w14:paraId="04F6E3CA" w14:textId="77777777" w:rsidR="00074DED" w:rsidRDefault="00CB1B22">
            <w:pPr>
              <w:numPr>
                <w:ilvl w:val="0"/>
                <w:numId w:val="2"/>
              </w:numPr>
            </w:pPr>
            <w:r>
              <w:rPr>
                <w:b/>
              </w:rPr>
              <w:t>Video/Audio Reflection:</w:t>
            </w:r>
            <w:r>
              <w:t xml:space="preserve"> A </w:t>
            </w:r>
            <w:proofErr w:type="gramStart"/>
            <w:r>
              <w:t>5-7 minute</w:t>
            </w:r>
            <w:proofErr w:type="gramEnd"/>
            <w:r>
              <w:t xml:space="preserve"> recording</w:t>
            </w:r>
          </w:p>
        </w:tc>
        <w:tc>
          <w:tcPr>
            <w:tcW w:w="3270" w:type="dxa"/>
          </w:tcPr>
          <w:p w14:paraId="0E8D654C" w14:textId="77777777" w:rsidR="00074DED" w:rsidRDefault="00CB1B22">
            <w:r>
              <w:rPr>
                <w:b/>
              </w:rPr>
              <w:t>CCPO 1</w:t>
            </w:r>
            <w:r>
              <w:t>: Design human-centered learning environments that align with the foundations of Regular Substantive Interaction (RSI). (CCC 1, 2, 3, 5; PGC 1, 3, 5)</w:t>
            </w:r>
          </w:p>
        </w:tc>
      </w:tr>
      <w:tr w:rsidR="00074DED" w14:paraId="594272E5" w14:textId="77777777">
        <w:trPr>
          <w:trHeight w:val="6508"/>
        </w:trPr>
        <w:tc>
          <w:tcPr>
            <w:tcW w:w="6090" w:type="dxa"/>
          </w:tcPr>
          <w:p w14:paraId="32D27A07" w14:textId="77777777" w:rsidR="00074DED" w:rsidRDefault="00CB1B22">
            <w:pPr>
              <w:rPr>
                <w:b/>
              </w:rPr>
            </w:pPr>
            <w:r>
              <w:rPr>
                <w:b/>
              </w:rPr>
              <w:lastRenderedPageBreak/>
              <w:t>Course Unit Redesign for Success</w:t>
            </w:r>
          </w:p>
          <w:p w14:paraId="4FA01E4E" w14:textId="77777777" w:rsidR="00074DED" w:rsidRDefault="00074DED"/>
          <w:p w14:paraId="4CB78647" w14:textId="77777777" w:rsidR="00074DED" w:rsidRDefault="00CB1B22">
            <w:r>
              <w:t>Participants will enhance a unit in their existing course by incorporating active learning, peer collaboration, inclusive practices, and/or formative assessments. Participants will present their unit explaining how each change supports personalized learning, accessibility, engagement, and assessment. (Parts I and II)</w:t>
            </w:r>
          </w:p>
          <w:p w14:paraId="37A739DF" w14:textId="77777777" w:rsidR="00074DED" w:rsidRDefault="00074DED"/>
          <w:p w14:paraId="2563DEF4" w14:textId="77777777" w:rsidR="00074DED" w:rsidRDefault="00CB1B22">
            <w:r>
              <w:t>Artifacts will be evaluated using collegewide rubrics.</w:t>
            </w:r>
          </w:p>
          <w:p w14:paraId="036D004D" w14:textId="77777777" w:rsidR="00074DED" w:rsidRDefault="00CB1B22">
            <w:r>
              <w:br/>
            </w:r>
            <w:r>
              <w:rPr>
                <w:b/>
              </w:rPr>
              <w:t>Part 1: Student Resources in D2L Brightspace:</w:t>
            </w:r>
            <w:r>
              <w:t xml:space="preserve"> Incorporate active learning, peer collaboration, inclusive practices, and/or formative assessments in the learning unit within the LMS.</w:t>
            </w:r>
          </w:p>
          <w:p w14:paraId="07B12C4B" w14:textId="77777777" w:rsidR="00074DED" w:rsidRDefault="00074DED"/>
          <w:p w14:paraId="32FCF411" w14:textId="77777777" w:rsidR="00074DED" w:rsidRDefault="00CB1B22">
            <w:r>
              <w:rPr>
                <w:b/>
              </w:rPr>
              <w:t>Part 2: Walkthrough:</w:t>
            </w:r>
            <w:r>
              <w:t xml:space="preserve"> Present the enhanced unit in a </w:t>
            </w:r>
            <w:proofErr w:type="gramStart"/>
            <w:r>
              <w:t>5-7 minute</w:t>
            </w:r>
            <w:proofErr w:type="gramEnd"/>
            <w:r>
              <w:t xml:space="preserve"> visual format, explaining how each change supports personalized learning, accessibility, engagement, and assessment.</w:t>
            </w:r>
          </w:p>
          <w:p w14:paraId="2D2BFA35" w14:textId="77777777" w:rsidR="00074DED" w:rsidRDefault="00074DED"/>
        </w:tc>
        <w:tc>
          <w:tcPr>
            <w:tcW w:w="3270" w:type="dxa"/>
          </w:tcPr>
          <w:p w14:paraId="0B2A886B" w14:textId="77777777" w:rsidR="00074DED" w:rsidRDefault="00CB1B22">
            <w:r>
              <w:rPr>
                <w:b/>
              </w:rPr>
              <w:t>CCPO 2</w:t>
            </w:r>
            <w:r>
              <w:t xml:space="preserve">:  Develop an instructional unit integrating interactive learning design strategies to personalize learning. (CCC 2, 6; PGC 1, 2, 3, 4, 5) </w:t>
            </w:r>
          </w:p>
          <w:p w14:paraId="79C01715" w14:textId="77777777" w:rsidR="00074DED" w:rsidRDefault="00074DED"/>
        </w:tc>
      </w:tr>
      <w:tr w:rsidR="00074DED" w14:paraId="4875A2CC" w14:textId="77777777">
        <w:trPr>
          <w:trHeight w:val="4230"/>
        </w:trPr>
        <w:tc>
          <w:tcPr>
            <w:tcW w:w="6090" w:type="dxa"/>
          </w:tcPr>
          <w:p w14:paraId="653E952E" w14:textId="77777777" w:rsidR="00074DED" w:rsidRDefault="00CB1B22">
            <w:pPr>
              <w:rPr>
                <w:b/>
              </w:rPr>
            </w:pPr>
            <w:r>
              <w:rPr>
                <w:b/>
              </w:rPr>
              <w:t>Reflective Practice &amp; Learning Experience Design Growth Plan</w:t>
            </w:r>
          </w:p>
          <w:p w14:paraId="2CEDE552" w14:textId="77777777" w:rsidR="00074DED" w:rsidRDefault="00CB1B22">
            <w:pPr>
              <w:spacing w:before="240" w:after="240"/>
            </w:pPr>
            <w:r>
              <w:t>Participants will reflect on their design journey and growth throughout the course. The reflection will outline a plan for using learning experience design to intentionally shape future learning experiences. Reflections will be evaluated using a collegewide rubric.</w:t>
            </w:r>
          </w:p>
          <w:p w14:paraId="3D834BF0" w14:textId="77777777" w:rsidR="00074DED" w:rsidRDefault="00CB1B22">
            <w:pPr>
              <w:spacing w:before="240" w:after="240"/>
              <w:rPr>
                <w:b/>
              </w:rPr>
            </w:pPr>
            <w:r>
              <w:rPr>
                <w:b/>
              </w:rPr>
              <w:t>Submission Options:</w:t>
            </w:r>
          </w:p>
          <w:p w14:paraId="71050529" w14:textId="77777777" w:rsidR="00074DED" w:rsidRDefault="00CB1B22">
            <w:pPr>
              <w:numPr>
                <w:ilvl w:val="0"/>
                <w:numId w:val="3"/>
              </w:numPr>
            </w:pPr>
            <w:r>
              <w:rPr>
                <w:b/>
              </w:rPr>
              <w:t>Written Document:</w:t>
            </w:r>
            <w:r>
              <w:t xml:space="preserve"> A </w:t>
            </w:r>
            <w:proofErr w:type="gramStart"/>
            <w:r>
              <w:t>2-3 page</w:t>
            </w:r>
            <w:proofErr w:type="gramEnd"/>
            <w:r>
              <w:t xml:space="preserve"> strategy plan</w:t>
            </w:r>
          </w:p>
          <w:p w14:paraId="68A3E0F7" w14:textId="77777777" w:rsidR="00074DED" w:rsidRDefault="00CB1B22">
            <w:pPr>
              <w:numPr>
                <w:ilvl w:val="0"/>
                <w:numId w:val="3"/>
              </w:numPr>
            </w:pPr>
            <w:r>
              <w:rPr>
                <w:b/>
              </w:rPr>
              <w:t xml:space="preserve">Presentation: </w:t>
            </w:r>
            <w:r>
              <w:t>A visual presentation with at least 5 slides, including speaker notes or a voiceover</w:t>
            </w:r>
          </w:p>
          <w:p w14:paraId="71FA534C" w14:textId="77777777" w:rsidR="00074DED" w:rsidRDefault="00CB1B22">
            <w:pPr>
              <w:numPr>
                <w:ilvl w:val="0"/>
                <w:numId w:val="3"/>
              </w:numPr>
            </w:pPr>
            <w:r>
              <w:rPr>
                <w:b/>
              </w:rPr>
              <w:t>Video/Audio Reflection:</w:t>
            </w:r>
            <w:r>
              <w:t xml:space="preserve"> A </w:t>
            </w:r>
            <w:proofErr w:type="gramStart"/>
            <w:r>
              <w:t>5-7 minute</w:t>
            </w:r>
            <w:proofErr w:type="gramEnd"/>
            <w:r>
              <w:t xml:space="preserve"> recording</w:t>
            </w:r>
          </w:p>
        </w:tc>
        <w:tc>
          <w:tcPr>
            <w:tcW w:w="3270" w:type="dxa"/>
          </w:tcPr>
          <w:p w14:paraId="2B5A7635" w14:textId="77777777" w:rsidR="00074DED" w:rsidRDefault="00CB1B22">
            <w:r>
              <w:rPr>
                <w:b/>
              </w:rPr>
              <w:t>CCPO 3</w:t>
            </w:r>
            <w:r>
              <w:t xml:space="preserve">: Reflect on the learning design process to continuously improve instructional effectiveness. (CCC 3, 4; PGC 1, 3, 6) </w:t>
            </w:r>
          </w:p>
        </w:tc>
      </w:tr>
    </w:tbl>
    <w:p w14:paraId="0507CB07" w14:textId="77777777" w:rsidR="00CB1B22" w:rsidRDefault="00CB1B22">
      <w:pPr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14:paraId="2538B595" w14:textId="77777777" w:rsidR="00CB1B22" w:rsidRDefault="00CB1B22">
      <w:pPr>
        <w:rPr>
          <w:b/>
        </w:rPr>
      </w:pPr>
      <w:r>
        <w:rPr>
          <w:b/>
        </w:rPr>
        <w:br w:type="page"/>
      </w:r>
    </w:p>
    <w:p w14:paraId="63F35A41" w14:textId="170490EE" w:rsidR="00074DED" w:rsidRDefault="00CB1B22">
      <w:pPr>
        <w:jc w:val="center"/>
        <w:rPr>
          <w:b/>
        </w:rPr>
      </w:pPr>
      <w:r>
        <w:rPr>
          <w:b/>
        </w:rPr>
        <w:lastRenderedPageBreak/>
        <w:br/>
      </w:r>
      <w:r>
        <w:rPr>
          <w:b/>
        </w:rPr>
        <w:br/>
        <w:t>FINAL COURSE GRADE</w:t>
      </w:r>
    </w:p>
    <w:p w14:paraId="09DA49E8" w14:textId="77777777" w:rsidR="00074DED" w:rsidRDefault="00CB1B22">
      <w:pPr>
        <w:jc w:val="center"/>
        <w:rPr>
          <w:sz w:val="20"/>
          <w:szCs w:val="20"/>
        </w:rPr>
      </w:pPr>
      <w:r>
        <w:rPr>
          <w:sz w:val="20"/>
          <w:szCs w:val="20"/>
        </w:rPr>
        <w:t>(Calculated using the following weighted average)</w:t>
      </w:r>
    </w:p>
    <w:p w14:paraId="1651F80A" w14:textId="77777777" w:rsidR="00074DED" w:rsidRDefault="00074DED">
      <w:pPr>
        <w:rPr>
          <w:i/>
        </w:rPr>
      </w:pPr>
    </w:p>
    <w:tbl>
      <w:tblPr>
        <w:tblStyle w:val="a1"/>
        <w:tblW w:w="943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5"/>
        <w:gridCol w:w="3270"/>
      </w:tblGrid>
      <w:tr w:rsidR="00074DED" w14:paraId="6F5CFE9D" w14:textId="77777777"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584B" w14:textId="77777777" w:rsidR="00074DED" w:rsidRDefault="00CB1B22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Evaluation Measure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2C16" w14:textId="77777777" w:rsidR="00074DED" w:rsidRDefault="00CB1B22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Percentage of Final Grade</w:t>
            </w:r>
          </w:p>
        </w:tc>
      </w:tr>
      <w:tr w:rsidR="00074DED" w14:paraId="15E10D77" w14:textId="77777777"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B6D5" w14:textId="6AA4728E" w:rsidR="00074DED" w:rsidRDefault="00CB1B22">
            <w:pPr>
              <w:ind w:left="540"/>
            </w:pPr>
            <w:r>
              <w:rPr>
                <w:b/>
                <w:sz w:val="20"/>
                <w:szCs w:val="20"/>
              </w:rPr>
              <w:t xml:space="preserve">Summative Assessments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F57F" w14:textId="77777777" w:rsidR="00074DED" w:rsidRDefault="00074DED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074DED" w14:paraId="6B857161" w14:textId="77777777"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3950" w14:textId="77777777" w:rsidR="00074DED" w:rsidRDefault="00CB1B22">
            <w:pPr>
              <w:ind w:left="540"/>
            </w:pPr>
            <w:r>
              <w:rPr>
                <w:sz w:val="20"/>
                <w:szCs w:val="20"/>
              </w:rPr>
              <w:t>Designing for Connection: Improving Learning with RSI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9CEA" w14:textId="77777777" w:rsidR="00074DED" w:rsidRDefault="00CB1B22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</w:tr>
      <w:tr w:rsidR="00074DED" w14:paraId="2D32C527" w14:textId="77777777"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952A" w14:textId="0B9AD4AC" w:rsidR="00074DED" w:rsidRDefault="00CB1B22" w:rsidP="00CB1B22">
            <w:pPr>
              <w:ind w:left="5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Unit Redesign for Success (Equally weighted)</w:t>
            </w:r>
          </w:p>
          <w:p w14:paraId="49766112" w14:textId="77777777" w:rsidR="00074DED" w:rsidRDefault="00CB1B22">
            <w:pPr>
              <w:numPr>
                <w:ilvl w:val="0"/>
                <w:numId w:val="6"/>
              </w:numPr>
              <w:ind w:left="1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Resources in LMS</w:t>
            </w:r>
          </w:p>
          <w:p w14:paraId="5D76D045" w14:textId="77777777" w:rsidR="00074DED" w:rsidRDefault="00CB1B22">
            <w:pPr>
              <w:numPr>
                <w:ilvl w:val="0"/>
                <w:numId w:val="6"/>
              </w:numPr>
              <w:ind w:left="1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Walkthrough</w:t>
            </w:r>
          </w:p>
          <w:p w14:paraId="3220D403" w14:textId="77777777" w:rsidR="00074DED" w:rsidRDefault="00CB1B22">
            <w:pPr>
              <w:numPr>
                <w:ilvl w:val="0"/>
                <w:numId w:val="6"/>
              </w:numPr>
              <w:ind w:left="1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 Plan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254FA" w14:textId="77777777" w:rsidR="00074DED" w:rsidRDefault="00CB1B22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</w:tr>
      <w:tr w:rsidR="00074DED" w14:paraId="76E590ED" w14:textId="77777777"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23D7" w14:textId="77777777" w:rsidR="00074DED" w:rsidRDefault="00CB1B22">
            <w:pPr>
              <w:ind w:left="540"/>
            </w:pPr>
            <w:r>
              <w:rPr>
                <w:sz w:val="20"/>
                <w:szCs w:val="20"/>
              </w:rPr>
              <w:t>Reflective Practice &amp; Learning Experience Design Growth Plan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5AB33" w14:textId="77777777" w:rsidR="00074DED" w:rsidRDefault="00CB1B22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</w:tr>
      <w:tr w:rsidR="00074DED" w14:paraId="0498BCC8" w14:textId="77777777"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C649" w14:textId="05DC2C84" w:rsidR="00074DED" w:rsidRDefault="00CB1B22">
            <w:pPr>
              <w:ind w:left="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Formative Assessments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4D7D3" w14:textId="77777777" w:rsidR="00074DED" w:rsidRDefault="00074DED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074DED" w14:paraId="0F0A00B8" w14:textId="77777777"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1F0D4" w14:textId="77777777" w:rsidR="00CB1B22" w:rsidRDefault="00CB1B22" w:rsidP="00CB1B22">
            <w:pPr>
              <w:pStyle w:val="ListParagraph"/>
            </w:pPr>
            <w:r w:rsidRPr="00A7433F">
              <w:t>The course will contain various formative assessments including but not limited to:</w:t>
            </w:r>
          </w:p>
          <w:p w14:paraId="31DD0BD8" w14:textId="77777777" w:rsidR="00CB1B22" w:rsidRDefault="00CB1B22" w:rsidP="00CB1B22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Discussions</w:t>
            </w:r>
          </w:p>
          <w:p w14:paraId="728EF355" w14:textId="2B2A03AF" w:rsidR="00074DED" w:rsidRPr="00CB1B22" w:rsidRDefault="00CB1B22" w:rsidP="00CB1B22">
            <w:pPr>
              <w:pStyle w:val="ListParagraph"/>
            </w:pPr>
            <w:r>
              <w:rPr>
                <w:sz w:val="20"/>
                <w:szCs w:val="20"/>
              </w:rPr>
              <w:t>Assignments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A0A4C" w14:textId="77777777" w:rsidR="00074DED" w:rsidRDefault="00CB1B22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074DED" w14:paraId="0E5AF4C5" w14:textId="77777777"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571B" w14:textId="77777777" w:rsidR="00074DED" w:rsidRDefault="00CB1B22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6C7E" w14:textId="77777777" w:rsidR="00074DED" w:rsidRDefault="00CB1B22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14:paraId="526CD89F" w14:textId="77777777" w:rsidR="00074DED" w:rsidRDefault="00074DED">
      <w:pPr>
        <w:rPr>
          <w:i/>
          <w:sz w:val="20"/>
          <w:szCs w:val="20"/>
        </w:rPr>
      </w:pPr>
    </w:p>
    <w:p w14:paraId="34BF284D" w14:textId="77777777" w:rsidR="00074DED" w:rsidRDefault="00074DED">
      <w:bookmarkStart w:id="0" w:name="_gjdgxs" w:colFirst="0" w:colLast="0"/>
      <w:bookmarkEnd w:id="0"/>
    </w:p>
    <w:p w14:paraId="2479D1F7" w14:textId="77777777" w:rsidR="00074DED" w:rsidRDefault="00074DED"/>
    <w:tbl>
      <w:tblPr>
        <w:tblStyle w:val="a2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3524"/>
        <w:gridCol w:w="877"/>
        <w:gridCol w:w="1239"/>
      </w:tblGrid>
      <w:tr w:rsidR="00074DED" w14:paraId="30F7D9FF" w14:textId="77777777">
        <w:tc>
          <w:tcPr>
            <w:tcW w:w="371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78A8D9" w14:textId="77777777" w:rsidR="00074DED" w:rsidRDefault="00CB1B22">
            <w:pPr>
              <w:keepLines/>
              <w:ind w:right="-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Submitted by (Collegewide Lead):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8EE8" w14:textId="77777777" w:rsidR="00074DED" w:rsidRDefault="00074DED">
            <w:pPr>
              <w:keepLines/>
              <w:ind w:right="-720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140B5" w14:textId="77777777" w:rsidR="00074DED" w:rsidRDefault="00CB1B22">
            <w:pPr>
              <w:keepLines/>
              <w:ind w:right="-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4534" w14:textId="77777777" w:rsidR="00074DED" w:rsidRDefault="00074DED">
            <w:pPr>
              <w:keepLines/>
              <w:ind w:right="-720"/>
              <w:rPr>
                <w:sz w:val="22"/>
                <w:szCs w:val="22"/>
              </w:rPr>
            </w:pPr>
          </w:p>
        </w:tc>
      </w:tr>
      <w:tr w:rsidR="00074DED" w14:paraId="7D9505D7" w14:textId="77777777"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14:paraId="2F72DA03" w14:textId="77777777" w:rsidR="00074DED" w:rsidRDefault="00074DED">
            <w:pPr>
              <w:keepLines/>
              <w:ind w:right="-7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227EC7" w14:textId="77777777" w:rsidR="00074DED" w:rsidRDefault="00074DED">
            <w:pPr>
              <w:keepLines/>
              <w:ind w:right="-7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A668265" w14:textId="77777777" w:rsidR="00074DED" w:rsidRDefault="00074DED">
            <w:pPr>
              <w:keepLines/>
              <w:ind w:right="-720"/>
              <w:rPr>
                <w:b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A517F5" w14:textId="77777777" w:rsidR="00074DED" w:rsidRDefault="00074DED">
            <w:pPr>
              <w:keepLines/>
              <w:ind w:right="-720"/>
              <w:rPr>
                <w:b/>
                <w:i/>
                <w:sz w:val="22"/>
                <w:szCs w:val="22"/>
              </w:rPr>
            </w:pPr>
          </w:p>
        </w:tc>
      </w:tr>
      <w:tr w:rsidR="00074DED" w14:paraId="231718FA" w14:textId="77777777">
        <w:tc>
          <w:tcPr>
            <w:tcW w:w="7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E0243" w14:textId="77777777" w:rsidR="00074DED" w:rsidRDefault="00CB1B22">
            <w:pPr>
              <w:keepLines/>
              <w:ind w:right="-720"/>
              <w:rPr>
                <w:b/>
                <w:i/>
                <w:sz w:val="22"/>
                <w:szCs w:val="22"/>
              </w:rPr>
            </w:pPr>
            <w:bookmarkStart w:id="1" w:name="30j0zll" w:colFirst="0" w:colLast="0"/>
            <w:bookmarkEnd w:id="1"/>
            <w:r>
              <w:rPr>
                <w:b/>
                <w:sz w:val="22"/>
                <w:szCs w:val="22"/>
              </w:rPr>
              <w:t>☐ Approved by counterparts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79B99B" w14:textId="77777777" w:rsidR="00074DED" w:rsidRDefault="00CB1B22">
            <w:pPr>
              <w:keepLines/>
              <w:ind w:right="-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2D0D" w14:textId="77777777" w:rsidR="00074DED" w:rsidRDefault="00074DED">
            <w:pPr>
              <w:keepLines/>
              <w:ind w:right="-720"/>
              <w:rPr>
                <w:sz w:val="22"/>
                <w:szCs w:val="22"/>
              </w:rPr>
            </w:pPr>
          </w:p>
        </w:tc>
      </w:tr>
      <w:tr w:rsidR="00074DED" w14:paraId="6E239308" w14:textId="77777777"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14:paraId="4825ECB6" w14:textId="77777777" w:rsidR="00074DED" w:rsidRDefault="00074DED">
            <w:pPr>
              <w:keepLines/>
              <w:ind w:right="-7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71F6DD4D" w14:textId="77777777" w:rsidR="00074DED" w:rsidRDefault="00074DED">
            <w:pPr>
              <w:keepLines/>
              <w:ind w:right="-7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694D55A" w14:textId="77777777" w:rsidR="00074DED" w:rsidRDefault="00074DED">
            <w:pPr>
              <w:keepLines/>
              <w:ind w:right="-720"/>
              <w:rPr>
                <w:b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C99345" w14:textId="77777777" w:rsidR="00074DED" w:rsidRDefault="00074DED">
            <w:pPr>
              <w:keepLines/>
              <w:ind w:right="-720"/>
              <w:rPr>
                <w:b/>
                <w:i/>
                <w:sz w:val="22"/>
                <w:szCs w:val="22"/>
              </w:rPr>
            </w:pPr>
          </w:p>
        </w:tc>
      </w:tr>
      <w:tr w:rsidR="00074DED" w14:paraId="4DF16602" w14:textId="77777777">
        <w:tc>
          <w:tcPr>
            <w:tcW w:w="7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C995B" w14:textId="031B4114" w:rsidR="00074DED" w:rsidRDefault="007D51B4">
            <w:pPr>
              <w:keepLines/>
              <w:ind w:right="-720"/>
              <w:rPr>
                <w:b/>
                <w:i/>
                <w:sz w:val="22"/>
                <w:szCs w:val="22"/>
              </w:rPr>
            </w:pPr>
            <w:bookmarkStart w:id="2" w:name="1fob9te" w:colFirst="0" w:colLast="0"/>
            <w:bookmarkEnd w:id="2"/>
            <w:r>
              <w:rPr>
                <w:b/>
                <w:sz w:val="22"/>
                <w:szCs w:val="22"/>
              </w:rPr>
              <w:t>X</w:t>
            </w:r>
            <w:r w:rsidR="00CB1B22">
              <w:rPr>
                <w:b/>
                <w:sz w:val="22"/>
                <w:szCs w:val="22"/>
              </w:rPr>
              <w:t xml:space="preserve"> Reviewed by Curriculum Committee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243735" w14:textId="77777777" w:rsidR="00074DED" w:rsidRDefault="00CB1B22">
            <w:pPr>
              <w:keepLines/>
              <w:ind w:right="-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F5D3" w14:textId="1A964041" w:rsidR="00074DED" w:rsidRDefault="007D51B4">
            <w:pPr>
              <w:keepLines/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8/25/25</w:t>
            </w:r>
          </w:p>
        </w:tc>
      </w:tr>
    </w:tbl>
    <w:p w14:paraId="40E34A12" w14:textId="77777777" w:rsidR="00074DED" w:rsidRDefault="00074DED">
      <w:pPr>
        <w:rPr>
          <w:sz w:val="20"/>
          <w:szCs w:val="20"/>
        </w:rPr>
      </w:pPr>
    </w:p>
    <w:sectPr w:rsidR="00074DED">
      <w:pgSz w:w="12240" w:h="15840"/>
      <w:pgMar w:top="126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829"/>
    <w:multiLevelType w:val="multilevel"/>
    <w:tmpl w:val="5E4E2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5D4299"/>
    <w:multiLevelType w:val="multilevel"/>
    <w:tmpl w:val="79D2F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FD4833"/>
    <w:multiLevelType w:val="multilevel"/>
    <w:tmpl w:val="37DC5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16567E"/>
    <w:multiLevelType w:val="multilevel"/>
    <w:tmpl w:val="F3C44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5A1A48"/>
    <w:multiLevelType w:val="multilevel"/>
    <w:tmpl w:val="DDCA4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CC6EF2"/>
    <w:multiLevelType w:val="multilevel"/>
    <w:tmpl w:val="1F44FE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ED"/>
    <w:rsid w:val="00074DED"/>
    <w:rsid w:val="007D51B4"/>
    <w:rsid w:val="00C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02FA"/>
  <w15:docId w15:val="{7B71D3F1-8DA8-4561-BE46-E93B8595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-720"/>
        <w:tab w:val="left" w:pos="0"/>
        <w:tab w:val="left" w:pos="2340"/>
      </w:tabs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B1B22"/>
    <w:pPr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Stallings</dc:creator>
  <cp:lastModifiedBy>Susan Stallings</cp:lastModifiedBy>
  <cp:revision>2</cp:revision>
  <dcterms:created xsi:type="dcterms:W3CDTF">2025-08-25T13:04:00Z</dcterms:created>
  <dcterms:modified xsi:type="dcterms:W3CDTF">2025-08-25T13:04:00Z</dcterms:modified>
</cp:coreProperties>
</file>